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251"/>
        <w:gridCol w:w="5279"/>
      </w:tblGrid>
      <w:tr w:rsidR="00FB0378" w14:paraId="5D1ED386" w14:textId="77777777" w:rsidTr="006724B9">
        <w:trPr>
          <w:trHeight w:val="990"/>
        </w:trPr>
        <w:tc>
          <w:tcPr>
            <w:tcW w:w="5251" w:type="dxa"/>
            <w:tcBorders>
              <w:top w:val="nil"/>
              <w:left w:val="nil"/>
              <w:right w:val="nil"/>
            </w:tcBorders>
            <w:vAlign w:val="center"/>
          </w:tcPr>
          <w:p w14:paraId="23E67446" w14:textId="305771B3" w:rsidR="00FB0378" w:rsidRPr="00FB0378" w:rsidRDefault="00E266E6" w:rsidP="006724B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Positive Leadership for PCMH Development</w:t>
            </w:r>
          </w:p>
        </w:tc>
        <w:tc>
          <w:tcPr>
            <w:tcW w:w="5279" w:type="dxa"/>
            <w:tcBorders>
              <w:top w:val="nil"/>
              <w:left w:val="nil"/>
              <w:right w:val="nil"/>
            </w:tcBorders>
            <w:vAlign w:val="center"/>
          </w:tcPr>
          <w:p w14:paraId="234304E0" w14:textId="60C94290" w:rsidR="00FB0378" w:rsidRPr="00FB0378" w:rsidRDefault="00B2642E" w:rsidP="00FB0378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0B7A23" wp14:editId="675952CD">
                  <wp:extent cx="1180244" cy="476832"/>
                  <wp:effectExtent l="0" t="0" r="1270" b="0"/>
                  <wp:docPr id="2" name="Picture 2" descr="The Virginia CHC Leadership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Virginia CHC Leadership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9" cy="50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78" w14:paraId="27FDE31E" w14:textId="77777777" w:rsidTr="00B543BC">
        <w:trPr>
          <w:trHeight w:val="980"/>
        </w:trPr>
        <w:tc>
          <w:tcPr>
            <w:tcW w:w="10530" w:type="dxa"/>
            <w:gridSpan w:val="2"/>
            <w:vAlign w:val="center"/>
          </w:tcPr>
          <w:p w14:paraId="02A5A6D5" w14:textId="0A678B7F" w:rsidR="00FB0378" w:rsidRDefault="00FB0378" w:rsidP="002A445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 xml:space="preserve">PCMH development </w:t>
            </w:r>
            <w:r w:rsidR="00D34218">
              <w:rPr>
                <w:rFonts w:ascii="Arial" w:hAnsi="Arial" w:cs="Arial"/>
                <w:color w:val="002060"/>
                <w:sz w:val="18"/>
                <w:szCs w:val="18"/>
              </w:rPr>
              <w:t>requires positive leadership and authentic</w:t>
            </w: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 xml:space="preserve"> commitment from every member of the team.  This </w:t>
            </w:r>
            <w:r w:rsidR="006724B9">
              <w:rPr>
                <w:rFonts w:ascii="Arial" w:hAnsi="Arial" w:cs="Arial"/>
                <w:color w:val="002060"/>
                <w:sz w:val="18"/>
                <w:szCs w:val="18"/>
              </w:rPr>
              <w:t>tool</w:t>
            </w: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 xml:space="preserve"> outlines 25 </w:t>
            </w:r>
            <w:r w:rsidR="00D34218">
              <w:rPr>
                <w:rFonts w:ascii="Arial" w:hAnsi="Arial" w:cs="Arial"/>
                <w:color w:val="002060"/>
                <w:sz w:val="18"/>
                <w:szCs w:val="18"/>
              </w:rPr>
              <w:t>positive</w:t>
            </w:r>
            <w:r w:rsidR="006724B9">
              <w:rPr>
                <w:rFonts w:ascii="Arial" w:hAnsi="Arial" w:cs="Arial"/>
                <w:color w:val="002060"/>
                <w:sz w:val="18"/>
                <w:szCs w:val="18"/>
              </w:rPr>
              <w:t xml:space="preserve"> practices for leading PCMH development in your organization</w:t>
            </w: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>.  The</w:t>
            </w:r>
            <w:r w:rsidR="006724B9">
              <w:rPr>
                <w:rFonts w:ascii="Arial" w:hAnsi="Arial" w:cs="Arial"/>
                <w:color w:val="002060"/>
                <w:sz w:val="18"/>
                <w:szCs w:val="18"/>
              </w:rPr>
              <w:t xml:space="preserve"> practices </w:t>
            </w: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 xml:space="preserve">are based on research </w:t>
            </w:r>
            <w:r w:rsidR="00D34218">
              <w:rPr>
                <w:rFonts w:ascii="Arial" w:hAnsi="Arial" w:cs="Arial"/>
                <w:color w:val="002060"/>
                <w:sz w:val="18"/>
                <w:szCs w:val="18"/>
              </w:rPr>
              <w:t>and experience</w:t>
            </w:r>
            <w:r w:rsidRPr="00D654C6">
              <w:rPr>
                <w:rFonts w:ascii="Arial" w:hAnsi="Arial" w:cs="Arial"/>
                <w:color w:val="002060"/>
                <w:sz w:val="18"/>
                <w:szCs w:val="18"/>
              </w:rPr>
              <w:t xml:space="preserve"> with organizations that are able to optimize the PCMH model of care.  </w:t>
            </w:r>
            <w:r w:rsidR="00B543BC">
              <w:rPr>
                <w:rFonts w:ascii="Arial" w:hAnsi="Arial" w:cs="Arial"/>
                <w:color w:val="002060"/>
                <w:sz w:val="18"/>
                <w:szCs w:val="18"/>
              </w:rPr>
              <w:t>To learn more about these practices, visit the Elevation learning community.*</w:t>
            </w:r>
          </w:p>
        </w:tc>
      </w:tr>
      <w:tr w:rsidR="00FB0378" w:rsidRPr="00285105" w14:paraId="17E8AF14" w14:textId="77777777" w:rsidTr="00285105">
        <w:trPr>
          <w:trHeight w:val="288"/>
        </w:trPr>
        <w:tc>
          <w:tcPr>
            <w:tcW w:w="1053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29A8F1" w14:textId="77777777" w:rsidR="00FB0378" w:rsidRPr="00285105" w:rsidRDefault="00FB037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bookmarkStart w:id="0" w:name="_Hlk531709650"/>
          </w:p>
        </w:tc>
      </w:tr>
      <w:bookmarkEnd w:id="0"/>
      <w:tr w:rsidR="00FB0378" w:rsidRPr="00F354B1" w14:paraId="46FF82B8" w14:textId="77777777" w:rsidTr="00285105">
        <w:trPr>
          <w:trHeight w:val="252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19A7333B" w14:textId="77777777" w:rsidR="00FB0378" w:rsidRPr="00F354B1" w:rsidRDefault="00FB0378" w:rsidP="0001474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354B1">
              <w:rPr>
                <w:rFonts w:ascii="Arial" w:hAnsi="Arial" w:cs="Arial"/>
                <w:b/>
                <w:color w:val="002060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ership</w:t>
            </w:r>
          </w:p>
        </w:tc>
      </w:tr>
      <w:tr w:rsidR="00FB0378" w:rsidRPr="00F354B1" w14:paraId="16B794BE" w14:textId="77777777" w:rsidTr="00285105">
        <w:trPr>
          <w:trHeight w:val="70"/>
        </w:trPr>
        <w:tc>
          <w:tcPr>
            <w:tcW w:w="10530" w:type="dxa"/>
            <w:gridSpan w:val="2"/>
            <w:shd w:val="clear" w:color="auto" w:fill="8496B0" w:themeFill="text2" w:themeFillTint="99"/>
            <w:vAlign w:val="center"/>
          </w:tcPr>
          <w:p w14:paraId="5346BA3D" w14:textId="77777777" w:rsidR="00FB0378" w:rsidRPr="00F354B1" w:rsidRDefault="00FB0378" w:rsidP="00014748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B0378" w14:paraId="6260FF98" w14:textId="77777777" w:rsidTr="00285105">
        <w:trPr>
          <w:trHeight w:val="252"/>
        </w:trPr>
        <w:tc>
          <w:tcPr>
            <w:tcW w:w="10530" w:type="dxa"/>
            <w:gridSpan w:val="2"/>
            <w:vMerge w:val="restart"/>
            <w:vAlign w:val="center"/>
          </w:tcPr>
          <w:p w14:paraId="5680E1CF" w14:textId="1DBCFA13" w:rsidR="00FB0378" w:rsidRPr="00FB0378" w:rsidRDefault="00FB0378" w:rsidP="00FB0378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Strategic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. View PCMH as a strategic asset that can help the organization serve patients, support staff, strengthen partnerships, and generate funding.</w:t>
            </w:r>
          </w:p>
          <w:p w14:paraId="29639DFD" w14:textId="63F08B12" w:rsidR="00FB0378" w:rsidRPr="00FB0378" w:rsidRDefault="00FB0378" w:rsidP="00FB0378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Build Relationships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r w:rsidR="001B39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Build win-win relationships around PCMH with service partners, payers, funders.</w:t>
            </w:r>
          </w:p>
          <w:p w14:paraId="6DB0B9F1" w14:textId="1E88299A" w:rsidR="00FB0378" w:rsidRPr="00FB0378" w:rsidRDefault="00FB0378" w:rsidP="00FB0378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Create a Positive Environment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Foster a positive work environment where team members are supported and rewarded for advancing PCMH. </w:t>
            </w:r>
          </w:p>
          <w:p w14:paraId="2FDA33E2" w14:textId="61204F89" w:rsidR="00FB0378" w:rsidRPr="00FB0378" w:rsidRDefault="00FB0378" w:rsidP="00FB0378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Equip People for Excellence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Help team members learn and grow by offering education, coaching, and mentoring for PCMH development. </w:t>
            </w:r>
          </w:p>
          <w:p w14:paraId="1BD1F9F1" w14:textId="70224012" w:rsidR="00FB0378" w:rsidRPr="00FB0378" w:rsidRDefault="00FB0378" w:rsidP="00FB0378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Champion the Mission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.  Be a champion for PCMH – especially when people are working hard and some may be questioning the value of PCMH.</w:t>
            </w:r>
          </w:p>
        </w:tc>
      </w:tr>
      <w:tr w:rsidR="00FB0378" w14:paraId="64AA89B7" w14:textId="77777777" w:rsidTr="00285105">
        <w:trPr>
          <w:trHeight w:val="252"/>
        </w:trPr>
        <w:tc>
          <w:tcPr>
            <w:tcW w:w="10530" w:type="dxa"/>
            <w:gridSpan w:val="2"/>
            <w:vMerge/>
            <w:vAlign w:val="center"/>
          </w:tcPr>
          <w:p w14:paraId="3E3A67A6" w14:textId="0502C65F" w:rsidR="00FB0378" w:rsidRPr="00FA440D" w:rsidRDefault="00FB0378" w:rsidP="00014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78" w14:paraId="2A381F9A" w14:textId="77777777" w:rsidTr="00285105">
        <w:trPr>
          <w:trHeight w:val="252"/>
        </w:trPr>
        <w:tc>
          <w:tcPr>
            <w:tcW w:w="10530" w:type="dxa"/>
            <w:gridSpan w:val="2"/>
            <w:vMerge/>
            <w:vAlign w:val="center"/>
          </w:tcPr>
          <w:p w14:paraId="7D721834" w14:textId="152D4F1D" w:rsidR="00FB0378" w:rsidRPr="00FA440D" w:rsidRDefault="00FB0378" w:rsidP="00014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78" w14:paraId="6F4A3C3B" w14:textId="77777777" w:rsidTr="00285105">
        <w:trPr>
          <w:trHeight w:val="252"/>
        </w:trPr>
        <w:tc>
          <w:tcPr>
            <w:tcW w:w="10530" w:type="dxa"/>
            <w:gridSpan w:val="2"/>
            <w:vMerge/>
            <w:vAlign w:val="center"/>
          </w:tcPr>
          <w:p w14:paraId="462126D2" w14:textId="76076504" w:rsidR="00FB0378" w:rsidRPr="00FA440D" w:rsidRDefault="00FB0378" w:rsidP="00014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78" w14:paraId="4024847C" w14:textId="77777777" w:rsidTr="00285105">
        <w:trPr>
          <w:trHeight w:val="252"/>
        </w:trPr>
        <w:tc>
          <w:tcPr>
            <w:tcW w:w="10530" w:type="dxa"/>
            <w:gridSpan w:val="2"/>
            <w:vMerge/>
            <w:vAlign w:val="center"/>
          </w:tcPr>
          <w:p w14:paraId="0DF58C90" w14:textId="566D1DF0" w:rsidR="00FB0378" w:rsidRPr="00FA440D" w:rsidRDefault="00FB0378" w:rsidP="00014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78" w:rsidRPr="00AC11C6" w14:paraId="32140DEB" w14:textId="77777777" w:rsidTr="00B543BC">
        <w:trPr>
          <w:trHeight w:val="872"/>
        </w:trPr>
        <w:tc>
          <w:tcPr>
            <w:tcW w:w="10530" w:type="dxa"/>
            <w:gridSpan w:val="2"/>
            <w:vMerge/>
            <w:shd w:val="clear" w:color="auto" w:fill="FFFFFF" w:themeFill="background1"/>
            <w:vAlign w:val="center"/>
          </w:tcPr>
          <w:p w14:paraId="53FB6462" w14:textId="77777777" w:rsidR="00FB0378" w:rsidRPr="00AC11C6" w:rsidRDefault="00FB0378" w:rsidP="0001474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0378" w:rsidRPr="00AC11C6" w14:paraId="2321E27B" w14:textId="77777777" w:rsidTr="00285105">
        <w:trPr>
          <w:trHeight w:val="252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360824" w14:textId="77777777" w:rsidR="00FB0378" w:rsidRPr="00AC11C6" w:rsidRDefault="00FB0378" w:rsidP="0001474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0378" w:rsidRPr="00F354B1" w14:paraId="3635A8CD" w14:textId="77777777" w:rsidTr="00285105">
        <w:trPr>
          <w:trHeight w:val="252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1E7DD7A2" w14:textId="5F9E397E" w:rsidR="00FB0378" w:rsidRPr="00F354B1" w:rsidRDefault="00FB037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354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Strate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gy</w:t>
            </w:r>
          </w:p>
        </w:tc>
      </w:tr>
      <w:tr w:rsidR="00FB0378" w:rsidRPr="00F354B1" w14:paraId="4F9369EA" w14:textId="77777777" w:rsidTr="00285105">
        <w:trPr>
          <w:trHeight w:val="70"/>
        </w:trPr>
        <w:tc>
          <w:tcPr>
            <w:tcW w:w="10530" w:type="dxa"/>
            <w:gridSpan w:val="2"/>
            <w:shd w:val="clear" w:color="auto" w:fill="8496B0" w:themeFill="text2" w:themeFillTint="99"/>
            <w:vAlign w:val="center"/>
          </w:tcPr>
          <w:p w14:paraId="1C0CF810" w14:textId="77777777" w:rsidR="00FB0378" w:rsidRPr="00F354B1" w:rsidRDefault="00FB0378">
            <w:pPr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</w:p>
        </w:tc>
      </w:tr>
      <w:tr w:rsidR="00FB0378" w:rsidRPr="007D5A13" w14:paraId="59030A62" w14:textId="77777777" w:rsidTr="00B543BC">
        <w:trPr>
          <w:trHeight w:val="1403"/>
        </w:trPr>
        <w:tc>
          <w:tcPr>
            <w:tcW w:w="10530" w:type="dxa"/>
            <w:gridSpan w:val="2"/>
            <w:vAlign w:val="center"/>
          </w:tcPr>
          <w:p w14:paraId="1F0AF37D" w14:textId="47669FDA" w:rsidR="00FB0378" w:rsidRPr="00FB0378" w:rsidRDefault="00FB0378" w:rsidP="00FB0378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Define the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ission.  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Embrace PCMH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as a mission-critical strategy for the organization.</w:t>
            </w:r>
          </w:p>
          <w:p w14:paraId="022BB5D1" w14:textId="2EAA9129" w:rsidR="00FB0378" w:rsidRPr="00FB0378" w:rsidRDefault="00FB0378" w:rsidP="00FB0378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Focus on the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ustomer.  </w:t>
            </w:r>
            <w:r w:rsidRPr="001B395C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Fo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cus PCMH on delivering value for patients, staff, s</w:t>
            </w:r>
            <w:r w:rsidRPr="00FB037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ervice</w:t>
            </w:r>
            <w:r w:rsidRPr="00FB0378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partners, payers, and funders.</w:t>
            </w:r>
          </w:p>
          <w:p w14:paraId="61EAB744" w14:textId="12BB1370" w:rsidR="00FB0378" w:rsidRPr="00FB0378" w:rsidRDefault="00FB0378" w:rsidP="00FB0378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Define the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alue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roposition. 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Define a specific PCMH value proposition for each customer segment.</w:t>
            </w:r>
          </w:p>
          <w:p w14:paraId="04858938" w14:textId="54B82CD1" w:rsidR="00FB0378" w:rsidRPr="00FB0378" w:rsidRDefault="00FB0378" w:rsidP="00FB0378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Evaluate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esults. 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Evaluate the impact of PCMH for patients and selected other customer segments.</w:t>
            </w:r>
          </w:p>
          <w:p w14:paraId="43998D80" w14:textId="5A243692" w:rsidR="00FB0378" w:rsidRPr="00FB0378" w:rsidRDefault="00FB0378" w:rsidP="00FB0378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Develop a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lan.  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D</w:t>
            </w:r>
            <w:r w:rsidRPr="00FB037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evelop a plan for sustaining and improving PCMH as a core strategy of the organization.</w:t>
            </w:r>
            <w:r w:rsidRPr="00FB0378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0378" w:rsidRPr="00AC11C6" w14:paraId="2FB94B40" w14:textId="77777777" w:rsidTr="00285105">
        <w:trPr>
          <w:trHeight w:val="252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2655EA" w14:textId="77777777" w:rsidR="00FB0378" w:rsidRPr="00AC11C6" w:rsidRDefault="00FB0378" w:rsidP="00E2743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0378" w:rsidRPr="00F354B1" w14:paraId="10E8E5C3" w14:textId="77777777" w:rsidTr="00285105">
        <w:trPr>
          <w:trHeight w:val="252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15F380BD" w14:textId="739376D5" w:rsidR="00FB0378" w:rsidRPr="00F354B1" w:rsidRDefault="00FB037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354B1">
              <w:rPr>
                <w:rFonts w:ascii="Arial" w:hAnsi="Arial" w:cs="Arial"/>
                <w:b/>
                <w:color w:val="002060"/>
                <w:sz w:val="20"/>
                <w:szCs w:val="20"/>
              </w:rPr>
              <w:t>Manage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ment</w:t>
            </w:r>
          </w:p>
        </w:tc>
      </w:tr>
      <w:tr w:rsidR="00FB0378" w:rsidRPr="00F354B1" w14:paraId="01A44DD7" w14:textId="77777777" w:rsidTr="00285105">
        <w:trPr>
          <w:trHeight w:val="70"/>
        </w:trPr>
        <w:tc>
          <w:tcPr>
            <w:tcW w:w="10530" w:type="dxa"/>
            <w:gridSpan w:val="2"/>
            <w:shd w:val="clear" w:color="auto" w:fill="8496B0" w:themeFill="text2" w:themeFillTint="99"/>
            <w:vAlign w:val="center"/>
          </w:tcPr>
          <w:p w14:paraId="13C1C5CE" w14:textId="77777777" w:rsidR="00FB0378" w:rsidRPr="00F354B1" w:rsidRDefault="00FB0378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B0378" w14:paraId="45DAC8DC" w14:textId="77777777" w:rsidTr="00B543BC">
        <w:trPr>
          <w:trHeight w:val="1952"/>
        </w:trPr>
        <w:tc>
          <w:tcPr>
            <w:tcW w:w="10530" w:type="dxa"/>
            <w:gridSpan w:val="2"/>
            <w:vAlign w:val="center"/>
          </w:tcPr>
          <w:p w14:paraId="0F3F933E" w14:textId="38A2627A" w:rsidR="00FB0378" w:rsidRPr="00FB0378" w:rsidRDefault="00FB0378" w:rsidP="00FB037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Provide Direction. 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Give team members clear direction about their role and responsibilities for PCMH.</w:t>
            </w:r>
          </w:p>
          <w:p w14:paraId="15007616" w14:textId="49A1E3D2" w:rsidR="00FB0378" w:rsidRPr="00FB0378" w:rsidRDefault="00FB0378" w:rsidP="00FB037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Manage Workload.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 Be creative about managing job responsibilities and workload so people can contribute to PCMH development without experiencing toxic stress or burnout.</w:t>
            </w:r>
          </w:p>
          <w:p w14:paraId="4DBEE52F" w14:textId="6F4D49FD" w:rsidR="00FB0378" w:rsidRPr="00FB0378" w:rsidRDefault="00FB0378" w:rsidP="00FB037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Encourage Collaboration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Encourage people to work together and share know-how for PCMH development. </w:t>
            </w:r>
          </w:p>
          <w:p w14:paraId="2F6B28F2" w14:textId="5898D531" w:rsidR="00FB0378" w:rsidRPr="00FB0378" w:rsidRDefault="00FB0378" w:rsidP="00FB037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Support Learning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 Give people opportunities to try new skills, make mistakes, and grow from their experience in PCMH development. </w:t>
            </w:r>
          </w:p>
          <w:p w14:paraId="16C7F23E" w14:textId="6BC8ED95" w:rsidR="00FB0378" w:rsidRPr="00FB0378" w:rsidRDefault="00FB0378" w:rsidP="00FB037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Manage Change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Be proactive about communicating, listening, guiding, and supporting people through the process of PCMH development. </w:t>
            </w:r>
          </w:p>
        </w:tc>
      </w:tr>
      <w:tr w:rsidR="00FB0378" w:rsidRPr="00AC11C6" w14:paraId="6104DEA2" w14:textId="77777777" w:rsidTr="00285105">
        <w:trPr>
          <w:trHeight w:val="252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CC43B3" w14:textId="77777777" w:rsidR="00FB0378" w:rsidRPr="00AC11C6" w:rsidRDefault="00FB0378" w:rsidP="00E2743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0378" w:rsidRPr="00E2743A" w14:paraId="116EF2BE" w14:textId="77777777" w:rsidTr="00285105">
        <w:trPr>
          <w:trHeight w:val="252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2D0C2924" w14:textId="41F4213D" w:rsidR="00FB0378" w:rsidRPr="00E2743A" w:rsidRDefault="00FB037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2743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Teamwork</w:t>
            </w:r>
          </w:p>
        </w:tc>
      </w:tr>
      <w:tr w:rsidR="00FB0378" w:rsidRPr="00E2743A" w14:paraId="4E2EC0AF" w14:textId="77777777" w:rsidTr="00285105">
        <w:trPr>
          <w:trHeight w:val="70"/>
        </w:trPr>
        <w:tc>
          <w:tcPr>
            <w:tcW w:w="10530" w:type="dxa"/>
            <w:gridSpan w:val="2"/>
            <w:shd w:val="clear" w:color="auto" w:fill="8496B0" w:themeFill="text2" w:themeFillTint="99"/>
            <w:vAlign w:val="center"/>
          </w:tcPr>
          <w:p w14:paraId="2C237D26" w14:textId="77777777" w:rsidR="00FB0378" w:rsidRPr="00E2743A" w:rsidRDefault="00FB0378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bookmarkStart w:id="1" w:name="_Hlk531709864"/>
          </w:p>
        </w:tc>
      </w:tr>
      <w:bookmarkEnd w:id="1"/>
      <w:tr w:rsidR="00FB0378" w14:paraId="12B13DA7" w14:textId="77777777" w:rsidTr="00B2642E">
        <w:trPr>
          <w:trHeight w:val="1385"/>
        </w:trPr>
        <w:tc>
          <w:tcPr>
            <w:tcW w:w="10530" w:type="dxa"/>
            <w:gridSpan w:val="2"/>
            <w:vAlign w:val="center"/>
          </w:tcPr>
          <w:p w14:paraId="575612E5" w14:textId="1E142980" w:rsidR="00FB0378" w:rsidRPr="00FB0378" w:rsidRDefault="00FB0378" w:rsidP="00FB0378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Committed.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>Ask team members to m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ake an authentic commitment to achieving team goals for PCMH development.</w:t>
            </w:r>
          </w:p>
          <w:p w14:paraId="1C1FBF73" w14:textId="748FC627" w:rsidR="00FB0378" w:rsidRPr="00FB0378" w:rsidRDefault="00FB0378" w:rsidP="00FB0378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Connected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>Ask every team member to join the team for PCMH development.</w:t>
            </w:r>
          </w:p>
          <w:p w14:paraId="0900539B" w14:textId="1750D86A" w:rsidR="00FB0378" w:rsidRPr="00FB0378" w:rsidRDefault="00FB0378" w:rsidP="00FB0378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Collaborative.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Encourage team members 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to share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PCMH knowledge and work together to solve PCMH challenges.</w:t>
            </w:r>
          </w:p>
          <w:p w14:paraId="6C9416F4" w14:textId="138B11BC" w:rsidR="00FB0378" w:rsidRPr="00FB0378" w:rsidRDefault="00FB0378" w:rsidP="00FB0378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Supportive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  Support team members who need help with the transition to PCMH. </w:t>
            </w:r>
          </w:p>
          <w:p w14:paraId="467E65E8" w14:textId="4F87944B" w:rsidR="00FB0378" w:rsidRPr="00FB0378" w:rsidRDefault="00FB0378" w:rsidP="00FB0378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Be Resilient.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 and teach resilience to help the team 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stay positive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 PCMH challenges arise.</w:t>
            </w:r>
          </w:p>
        </w:tc>
      </w:tr>
      <w:tr w:rsidR="00FB0378" w:rsidRPr="00AC11C6" w14:paraId="6D6E29DB" w14:textId="77777777" w:rsidTr="00285105">
        <w:trPr>
          <w:trHeight w:val="252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0869FB" w14:textId="77777777" w:rsidR="00FB0378" w:rsidRPr="00B2642E" w:rsidRDefault="00FB0378" w:rsidP="00E2743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B0378" w:rsidRPr="00E2743A" w14:paraId="18177E7B" w14:textId="77777777" w:rsidTr="00285105">
        <w:trPr>
          <w:trHeight w:val="252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45C7D32D" w14:textId="6881A78F" w:rsidR="00FB0378" w:rsidRPr="00E2743A" w:rsidRDefault="00FB037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2743A">
              <w:rPr>
                <w:rFonts w:ascii="Arial" w:hAnsi="Arial" w:cs="Arial"/>
                <w:b/>
                <w:color w:val="002060"/>
                <w:sz w:val="20"/>
                <w:szCs w:val="20"/>
              </w:rPr>
              <w:t>Self-Direction</w:t>
            </w:r>
          </w:p>
        </w:tc>
      </w:tr>
      <w:tr w:rsidR="0005126E" w:rsidRPr="00E2743A" w14:paraId="47F9959B" w14:textId="77777777" w:rsidTr="00014748">
        <w:trPr>
          <w:trHeight w:val="70"/>
        </w:trPr>
        <w:tc>
          <w:tcPr>
            <w:tcW w:w="10530" w:type="dxa"/>
            <w:gridSpan w:val="2"/>
            <w:shd w:val="clear" w:color="auto" w:fill="8496B0" w:themeFill="text2" w:themeFillTint="99"/>
            <w:vAlign w:val="center"/>
          </w:tcPr>
          <w:p w14:paraId="34CD6DC9" w14:textId="77777777" w:rsidR="0005126E" w:rsidRPr="00E2743A" w:rsidRDefault="0005126E" w:rsidP="00014748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B0378" w14:paraId="4E9D7D0C" w14:textId="77777777" w:rsidTr="00B543BC">
        <w:trPr>
          <w:trHeight w:val="1763"/>
        </w:trPr>
        <w:tc>
          <w:tcPr>
            <w:tcW w:w="10530" w:type="dxa"/>
            <w:gridSpan w:val="2"/>
            <w:vAlign w:val="center"/>
          </w:tcPr>
          <w:p w14:paraId="7BA9C7AA" w14:textId="7EDBCD2E" w:rsidR="00FB0378" w:rsidRPr="00FB0378" w:rsidRDefault="00FB0378" w:rsidP="00FB0378">
            <w:pPr>
              <w:pStyle w:val="ListParagraph"/>
              <w:numPr>
                <w:ilvl w:val="0"/>
                <w:numId w:val="17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Commit to Growth.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Encourage team members to </w:t>
            </w:r>
            <w:r w:rsidR="0005126E">
              <w:rPr>
                <w:rFonts w:ascii="Arial" w:hAnsi="Arial" w:cs="Arial"/>
                <w:color w:val="000000"/>
                <w:sz w:val="18"/>
                <w:szCs w:val="18"/>
              </w:rPr>
              <w:t xml:space="preserve">take initiative by 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view</w:t>
            </w:r>
            <w:r w:rsidR="0005126E">
              <w:rPr>
                <w:rFonts w:ascii="Arial" w:hAnsi="Arial" w:cs="Arial"/>
                <w:color w:val="000000"/>
                <w:sz w:val="18"/>
                <w:szCs w:val="18"/>
              </w:rPr>
              <w:t>ing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PCMH development as an opportunity for learning and growth rather than just another responsibility.</w:t>
            </w:r>
          </w:p>
          <w:p w14:paraId="3B5DB587" w14:textId="303E2E02" w:rsidR="00FB0378" w:rsidRPr="00FB0378" w:rsidRDefault="00FB0378" w:rsidP="00FB0378">
            <w:pPr>
              <w:pStyle w:val="ListParagraph"/>
              <w:numPr>
                <w:ilvl w:val="0"/>
                <w:numId w:val="17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Prioritize Learning.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Challenge team members </w:t>
            </w:r>
            <w:r w:rsidR="001B395C">
              <w:rPr>
                <w:rFonts w:ascii="Arial" w:hAnsi="Arial" w:cs="Arial"/>
                <w:color w:val="000000"/>
                <w:sz w:val="18"/>
                <w:szCs w:val="18"/>
              </w:rPr>
              <w:t xml:space="preserve">to 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>engage in focused learning about PCMH.</w:t>
            </w:r>
          </w:p>
          <w:p w14:paraId="1509BDC2" w14:textId="2A3DBF3C" w:rsidR="00FB0378" w:rsidRPr="00FB0378" w:rsidRDefault="00FB0378" w:rsidP="00FB0378">
            <w:pPr>
              <w:pStyle w:val="ListParagraph"/>
              <w:numPr>
                <w:ilvl w:val="0"/>
                <w:numId w:val="17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Seek Coaching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Encourage teams members to seek coaching if they are struggling with PCMH development.</w:t>
            </w:r>
          </w:p>
          <w:p w14:paraId="31C17A6B" w14:textId="5EA194A3" w:rsidR="00FB0378" w:rsidRPr="00FB0378" w:rsidRDefault="00FB0378" w:rsidP="00FB0378">
            <w:pPr>
              <w:pStyle w:val="ListParagraph"/>
              <w:numPr>
                <w:ilvl w:val="0"/>
                <w:numId w:val="17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Create a Personal Development Plan. 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Incorporate PCMH as</w:t>
            </w:r>
            <w:r w:rsidR="0028510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part of each team member’s </w:t>
            </w:r>
            <w:r w:rsidRPr="00FB037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development</w:t>
            </w:r>
            <w:r w:rsidR="0028510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plan</w:t>
            </w: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14:paraId="0592D7A9" w14:textId="6101B2CF" w:rsidR="00FB0378" w:rsidRPr="00FB0378" w:rsidRDefault="00FB0378" w:rsidP="00FB0378">
            <w:pPr>
              <w:pStyle w:val="ListParagraph"/>
              <w:numPr>
                <w:ilvl w:val="0"/>
                <w:numId w:val="17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FB037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Commit to Wellness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85105">
              <w:rPr>
                <w:rFonts w:ascii="Arial" w:hAnsi="Arial" w:cs="Arial"/>
                <w:color w:val="000000"/>
                <w:sz w:val="18"/>
                <w:szCs w:val="18"/>
              </w:rPr>
              <w:t xml:space="preserve">Encourage team members to practice </w:t>
            </w:r>
            <w:r w:rsidRPr="00FB0378">
              <w:rPr>
                <w:rFonts w:ascii="Arial" w:hAnsi="Arial" w:cs="Arial"/>
                <w:color w:val="000000"/>
                <w:sz w:val="18"/>
                <w:szCs w:val="18"/>
              </w:rPr>
              <w:t>healthy living</w:t>
            </w:r>
            <w:r w:rsidR="0005126E">
              <w:rPr>
                <w:rFonts w:ascii="Arial" w:hAnsi="Arial" w:cs="Arial"/>
                <w:color w:val="000000"/>
                <w:sz w:val="18"/>
                <w:szCs w:val="18"/>
              </w:rPr>
              <w:t>, and demonstrate that the organization cares about their health and well-being.</w:t>
            </w:r>
            <w:bookmarkStart w:id="2" w:name="_GoBack"/>
            <w:bookmarkEnd w:id="2"/>
          </w:p>
        </w:tc>
      </w:tr>
    </w:tbl>
    <w:p w14:paraId="5A08E073" w14:textId="77777777" w:rsidR="004151BD" w:rsidRDefault="004151BD"/>
    <w:sectPr w:rsidR="004151BD" w:rsidSect="00B2642E">
      <w:headerReference w:type="default" r:id="rId9"/>
      <w:footerReference w:type="default" r:id="rId10"/>
      <w:pgSz w:w="12240" w:h="15840"/>
      <w:pgMar w:top="720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7A96" w14:textId="77777777" w:rsidR="002B6980" w:rsidRDefault="002B6980" w:rsidP="00A965BE">
      <w:pPr>
        <w:spacing w:after="0" w:line="240" w:lineRule="auto"/>
      </w:pPr>
      <w:r>
        <w:separator/>
      </w:r>
    </w:p>
  </w:endnote>
  <w:endnote w:type="continuationSeparator" w:id="0">
    <w:p w14:paraId="6E665C08" w14:textId="77777777" w:rsidR="002B6980" w:rsidRDefault="002B6980" w:rsidP="00A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467E" w14:textId="54E4F312" w:rsidR="00FB0378" w:rsidRPr="00B2642E" w:rsidRDefault="00FB0378" w:rsidP="00FB0378">
    <w:pPr>
      <w:pStyle w:val="Footer"/>
      <w:jc w:val="center"/>
      <w:rPr>
        <w:rFonts w:ascii="Arial" w:hAnsi="Arial" w:cs="Arial"/>
        <w:sz w:val="16"/>
        <w:szCs w:val="16"/>
      </w:rPr>
    </w:pPr>
    <w:r w:rsidRPr="00B2642E">
      <w:rPr>
        <w:rFonts w:ascii="Arial" w:hAnsi="Arial" w:cs="Arial"/>
        <w:sz w:val="16"/>
        <w:szCs w:val="16"/>
      </w:rPr>
      <w:t>*</w:t>
    </w:r>
    <w:r w:rsidR="00A36A03" w:rsidRPr="00B2642E">
      <w:rPr>
        <w:rFonts w:ascii="Arial" w:hAnsi="Arial" w:cs="Arial"/>
        <w:sz w:val="16"/>
        <w:szCs w:val="16"/>
      </w:rPr>
      <w:t xml:space="preserve">Elevation is a digital learning community for practicing positive leadership. </w:t>
    </w:r>
    <w:r w:rsidRPr="00B2642E">
      <w:rPr>
        <w:rFonts w:ascii="Arial" w:hAnsi="Arial" w:cs="Arial"/>
        <w:sz w:val="16"/>
        <w:szCs w:val="16"/>
      </w:rPr>
      <w:t xml:space="preserve">Learn more at </w:t>
    </w:r>
    <w:hyperlink r:id="rId1" w:history="1">
      <w:r w:rsidRPr="00B2642E">
        <w:rPr>
          <w:rStyle w:val="Hyperlink"/>
          <w:rFonts w:ascii="Arial" w:hAnsi="Arial" w:cs="Arial"/>
          <w:sz w:val="16"/>
          <w:szCs w:val="16"/>
        </w:rPr>
        <w:t>http://elevation.chsresults.com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7143" w14:textId="77777777" w:rsidR="002B6980" w:rsidRDefault="002B6980" w:rsidP="00A965BE">
      <w:pPr>
        <w:spacing w:after="0" w:line="240" w:lineRule="auto"/>
      </w:pPr>
      <w:r>
        <w:separator/>
      </w:r>
    </w:p>
  </w:footnote>
  <w:footnote w:type="continuationSeparator" w:id="0">
    <w:p w14:paraId="2CB67200" w14:textId="77777777" w:rsidR="002B6980" w:rsidRDefault="002B6980" w:rsidP="00A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FA87" w14:textId="597E63D8" w:rsidR="00B2642E" w:rsidRDefault="00B2642E" w:rsidP="00B264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20"/>
    <w:multiLevelType w:val="hybridMultilevel"/>
    <w:tmpl w:val="40345684"/>
    <w:lvl w:ilvl="0" w:tplc="068464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15DB4"/>
    <w:multiLevelType w:val="hybridMultilevel"/>
    <w:tmpl w:val="046C0F26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7FE7"/>
    <w:multiLevelType w:val="hybridMultilevel"/>
    <w:tmpl w:val="37AC3106"/>
    <w:lvl w:ilvl="0" w:tplc="068464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8114B"/>
    <w:multiLevelType w:val="hybridMultilevel"/>
    <w:tmpl w:val="8C540226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23E"/>
    <w:multiLevelType w:val="hybridMultilevel"/>
    <w:tmpl w:val="F1F0405E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31EE"/>
    <w:multiLevelType w:val="hybridMultilevel"/>
    <w:tmpl w:val="82F4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2267"/>
    <w:multiLevelType w:val="hybridMultilevel"/>
    <w:tmpl w:val="183E4996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809DA"/>
    <w:multiLevelType w:val="hybridMultilevel"/>
    <w:tmpl w:val="710EC516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184"/>
    <w:multiLevelType w:val="hybridMultilevel"/>
    <w:tmpl w:val="3BC0AC0E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56E"/>
    <w:multiLevelType w:val="hybridMultilevel"/>
    <w:tmpl w:val="A4D63FF0"/>
    <w:lvl w:ilvl="0" w:tplc="068464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A0594"/>
    <w:multiLevelType w:val="hybridMultilevel"/>
    <w:tmpl w:val="E3BC5F0A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D3B"/>
    <w:multiLevelType w:val="hybridMultilevel"/>
    <w:tmpl w:val="28D86B38"/>
    <w:lvl w:ilvl="0" w:tplc="90BE772A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8463E"/>
    <w:multiLevelType w:val="hybridMultilevel"/>
    <w:tmpl w:val="DEC48178"/>
    <w:lvl w:ilvl="0" w:tplc="068464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D12785"/>
    <w:multiLevelType w:val="hybridMultilevel"/>
    <w:tmpl w:val="CBFC3796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398E"/>
    <w:multiLevelType w:val="hybridMultilevel"/>
    <w:tmpl w:val="6ED42840"/>
    <w:lvl w:ilvl="0" w:tplc="3018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73030"/>
    <w:multiLevelType w:val="hybridMultilevel"/>
    <w:tmpl w:val="DEDEA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4403"/>
    <w:multiLevelType w:val="hybridMultilevel"/>
    <w:tmpl w:val="C19649D0"/>
    <w:lvl w:ilvl="0" w:tplc="068464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D"/>
    <w:rsid w:val="0005126E"/>
    <w:rsid w:val="000F72D4"/>
    <w:rsid w:val="00122B3F"/>
    <w:rsid w:val="001B395C"/>
    <w:rsid w:val="002169C2"/>
    <w:rsid w:val="00261478"/>
    <w:rsid w:val="002734A4"/>
    <w:rsid w:val="00285105"/>
    <w:rsid w:val="002A4456"/>
    <w:rsid w:val="002B6980"/>
    <w:rsid w:val="004151BD"/>
    <w:rsid w:val="00432DEC"/>
    <w:rsid w:val="0045047D"/>
    <w:rsid w:val="00527CB3"/>
    <w:rsid w:val="005A2772"/>
    <w:rsid w:val="006724B9"/>
    <w:rsid w:val="00684FB2"/>
    <w:rsid w:val="006930CC"/>
    <w:rsid w:val="006F7692"/>
    <w:rsid w:val="007D5A13"/>
    <w:rsid w:val="008709E9"/>
    <w:rsid w:val="008C06AF"/>
    <w:rsid w:val="009364AF"/>
    <w:rsid w:val="00A36A03"/>
    <w:rsid w:val="00A721D1"/>
    <w:rsid w:val="00A965BE"/>
    <w:rsid w:val="00AC11C6"/>
    <w:rsid w:val="00B2642E"/>
    <w:rsid w:val="00B543BC"/>
    <w:rsid w:val="00D319F3"/>
    <w:rsid w:val="00D34218"/>
    <w:rsid w:val="00D654C6"/>
    <w:rsid w:val="00DD5AE0"/>
    <w:rsid w:val="00E266E6"/>
    <w:rsid w:val="00E2743A"/>
    <w:rsid w:val="00E5467C"/>
    <w:rsid w:val="00EA0AEB"/>
    <w:rsid w:val="00F354B1"/>
    <w:rsid w:val="00F93BAB"/>
    <w:rsid w:val="00FA440D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3DAD3"/>
  <w15:chartTrackingRefBased/>
  <w15:docId w15:val="{DAC483D9-C0C7-44CE-9463-8D56022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4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A4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BE"/>
  </w:style>
  <w:style w:type="paragraph" w:styleId="Footer">
    <w:name w:val="footer"/>
    <w:basedOn w:val="Normal"/>
    <w:link w:val="FooterChar"/>
    <w:uiPriority w:val="99"/>
    <w:unhideWhenUsed/>
    <w:rsid w:val="00A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BE"/>
  </w:style>
  <w:style w:type="character" w:styleId="UnresolvedMention">
    <w:name w:val="Unresolved Mention"/>
    <w:basedOn w:val="DefaultParagraphFont"/>
    <w:uiPriority w:val="99"/>
    <w:semiHidden/>
    <w:unhideWhenUsed/>
    <w:rsid w:val="00FB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levation.chsresu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B9BB-E390-4CD7-99F8-12E8E5B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Horan</dc:creator>
  <cp:keywords/>
  <dc:description/>
  <cp:lastModifiedBy>Theresa Cyr</cp:lastModifiedBy>
  <cp:revision>4</cp:revision>
  <cp:lastPrinted>2018-12-05T16:34:00Z</cp:lastPrinted>
  <dcterms:created xsi:type="dcterms:W3CDTF">2018-12-05T16:40:00Z</dcterms:created>
  <dcterms:modified xsi:type="dcterms:W3CDTF">2018-12-05T16:43:00Z</dcterms:modified>
</cp:coreProperties>
</file>